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4C" w:rsidRDefault="0005294C" w:rsidP="0005294C">
      <w:pPr>
        <w:rPr>
          <w:sz w:val="24"/>
        </w:rPr>
      </w:pPr>
      <w:r>
        <w:rPr>
          <w:sz w:val="24"/>
        </w:rPr>
        <w:t xml:space="preserve"> Les ratios</w:t>
      </w: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  <w:r>
        <w:rPr>
          <w:sz w:val="24"/>
        </w:rPr>
        <w:t>La liste des principaux ratios est présentée ci-après, selon la classification proposée :</w:t>
      </w: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Les ratios de structure</w:t>
      </w:r>
    </w:p>
    <w:p w:rsidR="0005294C" w:rsidRDefault="0005294C" w:rsidP="0005294C">
      <w:pPr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276"/>
        <w:gridCol w:w="2953"/>
      </w:tblGrid>
      <w:tr w:rsidR="0005294C" w:rsidTr="007955E0">
        <w:tc>
          <w:tcPr>
            <w:tcW w:w="2552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Nature</w:t>
            </w:r>
          </w:p>
        </w:tc>
        <w:tc>
          <w:tcPr>
            <w:tcW w:w="4276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Formule</w:t>
            </w:r>
          </w:p>
        </w:tc>
        <w:tc>
          <w:tcPr>
            <w:tcW w:w="2953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interprétations</w:t>
            </w:r>
          </w:p>
        </w:tc>
      </w:tr>
      <w:tr w:rsidR="0005294C" w:rsidTr="007955E0">
        <w:tc>
          <w:tcPr>
            <w:tcW w:w="2552" w:type="dxa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6" style="position:absolute;z-index:251670528;mso-position-horizontal-relative:text;mso-position-vertical-relative:text" from="130.75pt,320.45pt" to="281.95pt,320.45pt" o:allowincell="f"/>
              </w:pict>
            </w:r>
            <w:r>
              <w:rPr>
                <w:noProof/>
                <w:sz w:val="24"/>
              </w:rPr>
              <w:pict>
                <v:line id="_x0000_s1035" style="position:absolute;z-index:251669504;mso-position-horizontal-relative:text;mso-position-vertical-relative:text" from="-6.05pt,291.65pt" to="512.35pt,291.65pt" o:allowincell="f"/>
              </w:pict>
            </w:r>
            <w:r>
              <w:rPr>
                <w:noProof/>
                <w:sz w:val="24"/>
              </w:rPr>
              <w:pict>
                <v:line id="_x0000_s1034" style="position:absolute;z-index:251668480;mso-position-horizontal-relative:text;mso-position-vertical-relative:text" from="137.95pt,262.85pt" to="296.35pt,262.85pt" o:allowincell="f"/>
              </w:pict>
            </w:r>
            <w:r>
              <w:rPr>
                <w:noProof/>
                <w:sz w:val="24"/>
              </w:rPr>
              <w:pict>
                <v:line id="_x0000_s1032" style="position:absolute;z-index:251666432;mso-position-horizontal-relative:text;mso-position-vertical-relative:text" from="173.95pt,198.05pt" to="281.95pt,198.05pt" o:allowincell="f"/>
              </w:pict>
            </w:r>
            <w:r>
              <w:rPr>
                <w:noProof/>
                <w:sz w:val="24"/>
              </w:rPr>
              <w:pict>
                <v:line id="_x0000_s1033" style="position:absolute;z-index:251667456;mso-position-horizontal-relative:text;mso-position-vertical-relative:text" from="-6.05pt,234.05pt" to="512.35pt,234.05pt" o:allowincell="f"/>
              </w:pict>
            </w:r>
            <w:r>
              <w:rPr>
                <w:noProof/>
                <w:sz w:val="24"/>
              </w:rPr>
              <w:pict>
                <v:line id="_x0000_s1031" style="position:absolute;z-index:251665408;mso-position-horizontal-relative:text;mso-position-vertical-relative:text" from="-6.05pt,169.25pt" to="512.35pt,169.25pt" o:allowincell="f"/>
              </w:pict>
            </w:r>
            <w:r>
              <w:rPr>
                <w:noProof/>
                <w:sz w:val="24"/>
              </w:rPr>
              <w:pict>
                <v:line id="_x0000_s1030" style="position:absolute;z-index:251664384;mso-position-horizontal-relative:text;mso-position-vertical-relative:text" from="152.35pt,126.05pt" to="296.35pt,126.05pt" o:allowincell="f"/>
              </w:pict>
            </w:r>
            <w:r>
              <w:rPr>
                <w:noProof/>
                <w:sz w:val="24"/>
              </w:rPr>
              <w:pict>
                <v:line id="_x0000_s1029" style="position:absolute;z-index:251663360;mso-position-horizontal-relative:text;mso-position-vertical-relative:text" from="-6.05pt,97.25pt" to="512.35pt,97.25pt" o:allowincell="f"/>
              </w:pict>
            </w:r>
            <w:r>
              <w:rPr>
                <w:noProof/>
                <w:sz w:val="24"/>
              </w:rPr>
              <w:pict>
                <v:line id="_x0000_s1028" style="position:absolute;z-index:251662336;mso-position-horizontal-relative:text;mso-position-vertical-relative:text" from="166.75pt,68.45pt" to="260.35pt,68.45pt" o:allowincell="f"/>
              </w:pict>
            </w:r>
            <w:r>
              <w:rPr>
                <w:noProof/>
                <w:sz w:val="24"/>
              </w:rPr>
              <w:pict>
                <v:line id="_x0000_s1027" style="position:absolute;z-index:251661312;mso-position-horizontal-relative:text;mso-position-vertical-relative:text" from="-6.05pt,46.85pt" to="512.35pt,46.85pt" o:allowincell="f"/>
              </w:pict>
            </w:r>
            <w:r>
              <w:rPr>
                <w:noProof/>
                <w:sz w:val="24"/>
              </w:rPr>
              <w:pict>
                <v:line id="_x0000_s1026" style="position:absolute;z-index:251660288;mso-position-horizontal-relative:text;mso-position-vertical-relative:text" from="159.55pt,25.25pt" to="281.95pt,25.25pt" o:allowincell="f"/>
              </w:pict>
            </w:r>
            <w:r w:rsidR="0005294C">
              <w:rPr>
                <w:sz w:val="24"/>
              </w:rPr>
              <w:t>Financement des emplois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Stables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Autonomie financière  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Capacité de remboursement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Autofinancement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Couverture de l’actif circulant par le FRNG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Evolution du FRNG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276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Ressources stable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Emplois stable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Capitaux propres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Total des dettes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Dettes financières</w:t>
            </w: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Capacité d’</w:t>
            </w:r>
            <w:r w:rsidR="0005294C">
              <w:rPr>
                <w:sz w:val="24"/>
              </w:rPr>
              <w:t>autofinancement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Autofinancement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Valeur ajoutée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Fonds de roulement net global 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Chiffre d’affaires hors taxes      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Fonds de roulement net global</w:t>
            </w:r>
          </w:p>
          <w:p w:rsidR="0005294C" w:rsidRDefault="0005294C" w:rsidP="007955E0">
            <w:pPr>
              <w:pStyle w:val="Titre1"/>
            </w:pPr>
            <w:r>
              <w:t>Chiffre d’affaire hors taxes        X 360</w:t>
            </w:r>
          </w:p>
        </w:tc>
        <w:tc>
          <w:tcPr>
            <w:tcW w:w="2953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couverture des emplois stables par les ressources stables.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capacité de l’entreprise à s’endetter.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L’endettement ne doit pas excéder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4 fois la capacité d’autofinancement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part de la valeur ajoutée consacrée à l’autofinancement 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indique la part du fonds de roulement net global qui finance l’actif circulant.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marge de sécurité financière en nombre de jours de chiffre d’affaires.</w:t>
            </w:r>
          </w:p>
          <w:p w:rsidR="0005294C" w:rsidRDefault="0005294C" w:rsidP="007955E0">
            <w:pPr>
              <w:rPr>
                <w:sz w:val="24"/>
              </w:rPr>
            </w:pPr>
          </w:p>
        </w:tc>
      </w:tr>
      <w:tr w:rsidR="0005294C" w:rsidTr="007955E0">
        <w:tc>
          <w:tcPr>
            <w:tcW w:w="2552" w:type="dxa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7" style="position:absolute;z-index:251671552;mso-position-horizontal-relative:text;mso-position-vertical-relative:text" from="130.75pt,40.4pt" to="296.35pt,40.4pt" o:allowincell="f"/>
              </w:pic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Evolution du BFRE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6" type="#_x0000_t32" style="position:absolute;margin-left:-2.95pt;margin-top:5.65pt;width:487.05pt;height:1.2pt;z-index:251710464" o:connectortype="straight"/>
              </w:pic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Solvabilité générale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Liquidité générale         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Liquidité restreinte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Liquidité immédiate 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Endettement à terme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276" w:type="dxa"/>
          </w:tcPr>
          <w:p w:rsidR="0005294C" w:rsidRDefault="0005294C" w:rsidP="007955E0">
            <w:pPr>
              <w:pStyle w:val="Corpsdetexte3"/>
              <w:jc w:val="left"/>
            </w:pPr>
            <w:r>
              <w:lastRenderedPageBreak/>
              <w:t>Besoin en fonds de roulement    d’exp</w:t>
            </w:r>
            <w:r w:rsidR="00530F53">
              <w:t xml:space="preserve">loitation                               </w:t>
            </w:r>
            <w:r>
              <w:t>X 360</w:t>
            </w:r>
          </w:p>
          <w:p w:rsidR="0005294C" w:rsidRDefault="0005294C" w:rsidP="007955E0">
            <w:pPr>
              <w:pStyle w:val="Corpsdetexte3"/>
              <w:jc w:val="left"/>
            </w:pPr>
          </w:p>
          <w:p w:rsidR="0005294C" w:rsidRDefault="0005294C" w:rsidP="007955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Chiffre d’affaires hors taxes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Total actif</w:t>
            </w: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75" type="#_x0000_t32" style="position:absolute;margin-left:24.35pt;margin-top:4.3pt;width:150.05pt;height:1.2pt;z-index:251709440" o:connectortype="straight"/>
              </w:pict>
            </w:r>
            <w:r>
              <w:rPr>
                <w:noProof/>
                <w:sz w:val="24"/>
              </w:rPr>
              <w:pict>
                <v:line id="_x0000_s1066" style="position:absolute;z-index:251701248;mso-position-horizontal-relative:text;mso-position-vertical-relative:text" from="130.75pt,626.75pt" to="332.35pt,626.75pt" o:allowincell="f"/>
              </w:pict>
            </w:r>
          </w:p>
          <w:p w:rsidR="0005294C" w:rsidRDefault="00D32BC8" w:rsidP="007955E0">
            <w:pPr>
              <w:rPr>
                <w:sz w:val="24"/>
              </w:rPr>
            </w:pPr>
            <w:r>
              <w:rPr>
                <w:sz w:val="24"/>
              </w:rPr>
              <w:t>(dettes à + d’un an) + (</w:t>
            </w:r>
            <w:bookmarkStart w:id="0" w:name="_GoBack"/>
            <w:bookmarkEnd w:id="0"/>
            <w:r w:rsidR="0005294C">
              <w:rPr>
                <w:sz w:val="24"/>
              </w:rPr>
              <w:t>dettes à – d’un an)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530F53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530F53" w:rsidRDefault="00530F53" w:rsidP="007955E0">
            <w:pPr>
              <w:rPr>
                <w:sz w:val="24"/>
              </w:rPr>
            </w:pP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74" type="#_x0000_t32" style="position:absolute;margin-left:31.6pt;margin-top:12.25pt;width:126.45pt;height:1.2pt;flip:y;z-index:251708416" o:connectortype="straight"/>
              </w:pict>
            </w:r>
            <w:r>
              <w:rPr>
                <w:sz w:val="24"/>
              </w:rPr>
              <w:t xml:space="preserve">             </w:t>
            </w:r>
            <w:r w:rsidR="0005294C">
              <w:rPr>
                <w:sz w:val="24"/>
              </w:rPr>
              <w:t>Actif à moins d’un an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Passif à moins d’un an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Créances à moins d’un an +disponibilité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Passif à moins d’un an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Disponibilités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Passif à moins d’un an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Capitaux propres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Dettes à plus d’un an</w:t>
            </w:r>
          </w:p>
        </w:tc>
        <w:tc>
          <w:tcPr>
            <w:tcW w:w="2953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Il mesure l’importance du besoin en fonds de roulement d’exploitation en nombre de jours de chiffre d’affaires.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capacité de l’entreprise à payer l’ensemble de ses dettes en utilisant l’ensemble de l’actif.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Il mesure la capacité de l’entreprise à payer ses </w:t>
            </w:r>
            <w:r>
              <w:rPr>
                <w:sz w:val="24"/>
              </w:rPr>
              <w:lastRenderedPageBreak/>
              <w:t>dettes à court terme en utilisant ses actifs à court terme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capacité de l’entreprise à payer ses dettes à court terme en utilisant les créances et les disponibilité</w:t>
            </w:r>
            <w:r w:rsidR="00D32BC8">
              <w:rPr>
                <w:sz w:val="24"/>
              </w:rPr>
              <w:t>s</w:t>
            </w:r>
            <w:r>
              <w:rPr>
                <w:sz w:val="24"/>
              </w:rPr>
              <w:t>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capacité de l’entreprise à payer ses dettes à court terme en utilisant les disponibilité</w:t>
            </w:r>
            <w:r w:rsidR="00D32BC8">
              <w:rPr>
                <w:sz w:val="24"/>
              </w:rPr>
              <w:t>s</w:t>
            </w:r>
            <w:r>
              <w:rPr>
                <w:sz w:val="24"/>
              </w:rPr>
              <w:t>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l’autonomie financière de l’entreprise.</w:t>
            </w:r>
          </w:p>
        </w:tc>
      </w:tr>
    </w:tbl>
    <w:p w:rsidR="0005294C" w:rsidRDefault="00D32BC8" w:rsidP="0005294C">
      <w:pPr>
        <w:rPr>
          <w:sz w:val="24"/>
        </w:rPr>
      </w:pPr>
      <w:r>
        <w:rPr>
          <w:noProof/>
          <w:sz w:val="24"/>
        </w:rPr>
        <w:lastRenderedPageBreak/>
        <w:pict>
          <v:line id="_x0000_s1067" style="position:absolute;z-index:251702272;mso-position-horizontal-relative:text;mso-position-vertical-relative:text" from="-6.05pt,-320.8pt" to="512.35pt,-320.8pt" o:allowincell="f"/>
        </w:pict>
      </w:r>
      <w:r>
        <w:rPr>
          <w:noProof/>
          <w:sz w:val="24"/>
        </w:rPr>
        <w:pict>
          <v:line id="_x0000_s1043" style="position:absolute;z-index:251677696;mso-position-horizontal-relative:text;mso-position-vertical-relative:text" from="173.95pt,-54.4pt" to="289.15pt,-54.4pt" o:allowincell="f"/>
        </w:pict>
      </w:r>
      <w:r>
        <w:rPr>
          <w:noProof/>
          <w:sz w:val="24"/>
        </w:rPr>
        <w:pict>
          <v:line id="_x0000_s1042" style="position:absolute;z-index:251676672;mso-position-horizontal-relative:text;mso-position-vertical-relative:text" from="152.35pt,-155.2pt" to="296.35pt,-155.2pt" o:allowincell="f"/>
        </w:pict>
      </w:r>
      <w:r>
        <w:rPr>
          <w:noProof/>
          <w:sz w:val="24"/>
        </w:rPr>
        <w:pict>
          <v:line id="_x0000_s1041" style="position:absolute;z-index:251675648;mso-position-horizontal-relative:text;mso-position-vertical-relative:text" from="130.75pt,-234.4pt" to="332.35pt,-234.4pt" o:allowincell="f"/>
        </w:pict>
      </w: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b/>
          <w:sz w:val="28"/>
        </w:rPr>
      </w:pPr>
      <w:r>
        <w:rPr>
          <w:b/>
          <w:sz w:val="28"/>
        </w:rPr>
        <w:t>B- Les ratios d’activité</w:t>
      </w:r>
    </w:p>
    <w:p w:rsidR="0005294C" w:rsidRDefault="0005294C" w:rsidP="0005294C">
      <w:pPr>
        <w:rPr>
          <w:b/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622"/>
        <w:gridCol w:w="4276"/>
        <w:gridCol w:w="2811"/>
      </w:tblGrid>
      <w:tr w:rsidR="0005294C" w:rsidTr="007955E0">
        <w:trPr>
          <w:gridBefore w:val="1"/>
          <w:wBefore w:w="72" w:type="dxa"/>
        </w:trPr>
        <w:tc>
          <w:tcPr>
            <w:tcW w:w="2622" w:type="dxa"/>
          </w:tcPr>
          <w:p w:rsidR="0005294C" w:rsidRDefault="0005294C" w:rsidP="007955E0">
            <w:pPr>
              <w:pStyle w:val="Titre4"/>
            </w:pPr>
            <w:r>
              <w:t>Nature</w:t>
            </w: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276" w:type="dxa"/>
          </w:tcPr>
          <w:p w:rsidR="0005294C" w:rsidRDefault="0005294C" w:rsidP="007955E0">
            <w:pPr>
              <w:pStyle w:val="Titre4"/>
            </w:pPr>
            <w:r>
              <w:t>Formule</w:t>
            </w:r>
          </w:p>
        </w:tc>
        <w:tc>
          <w:tcPr>
            <w:tcW w:w="2811" w:type="dxa"/>
          </w:tcPr>
          <w:p w:rsidR="0005294C" w:rsidRDefault="0005294C" w:rsidP="007955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interprétations</w:t>
            </w:r>
          </w:p>
        </w:tc>
      </w:tr>
      <w:tr w:rsidR="0005294C" w:rsidTr="007955E0">
        <w:trPr>
          <w:gridBefore w:val="1"/>
          <w:wBefore w:w="72" w:type="dxa"/>
        </w:trPr>
        <w:tc>
          <w:tcPr>
            <w:tcW w:w="2622" w:type="dxa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44" style="position:absolute;z-index:251678720;mso-position-horizontal-relative:text;mso-position-vertical-relative:text" from="173.95pt,31.7pt" to="260.35pt,31.7pt" o:allowincell="f"/>
              </w:pict>
            </w:r>
          </w:p>
          <w:p w:rsidR="0005294C" w:rsidRDefault="0005294C" w:rsidP="007955E0">
            <w:pPr>
              <w:pStyle w:val="Corpsdetexte3"/>
            </w:pPr>
            <w:r>
              <w:t>Taux de croissance du CA HT</w:t>
            </w:r>
          </w:p>
          <w:p w:rsidR="0005294C" w:rsidRDefault="0005294C" w:rsidP="007955E0">
            <w:pPr>
              <w:jc w:val="center"/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276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CA n – CAn-1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CA n- 1</w:t>
            </w:r>
          </w:p>
        </w:tc>
        <w:tc>
          <w:tcPr>
            <w:tcW w:w="2811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L’évolution du chiffre d’affaires permet de mesurer le taux de croissance de l’entreprise.</w:t>
            </w:r>
          </w:p>
        </w:tc>
      </w:tr>
      <w:tr w:rsidR="0005294C" w:rsidTr="007955E0">
        <w:trPr>
          <w:gridBefore w:val="1"/>
          <w:wBefore w:w="72" w:type="dxa"/>
        </w:trPr>
        <w:tc>
          <w:tcPr>
            <w:tcW w:w="2622" w:type="dxa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45" style="position:absolute;z-index:251679744;mso-position-horizontal-relative:text;mso-position-vertical-relative:text" from="181.15pt,27.6pt" to="289.15pt,27.6pt" o:allowincell="f"/>
              </w:pic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Taux de marge commerciale</w:t>
            </w:r>
          </w:p>
        </w:tc>
        <w:tc>
          <w:tcPr>
            <w:tcW w:w="4276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Marge commerciale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Ventes de marchandises HT</w:t>
            </w: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2811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l’évolution de la performance de l’activité commerciale de l’entreprise.</w:t>
            </w:r>
          </w:p>
        </w:tc>
      </w:tr>
      <w:tr w:rsidR="0005294C" w:rsidTr="007955E0">
        <w:tc>
          <w:tcPr>
            <w:tcW w:w="2694" w:type="dxa"/>
            <w:gridSpan w:val="2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72" style="position:absolute;z-index:251707392;mso-position-horizontal-relative:text;mso-position-vertical-relative:text" from="-6.05pt,296.35pt" to="483.55pt,296.35pt" o:allowincell="f"/>
              </w:pict>
            </w:r>
            <w:r>
              <w:rPr>
                <w:noProof/>
                <w:sz w:val="24"/>
              </w:rPr>
              <w:pict>
                <v:line id="_x0000_s1071" style="position:absolute;z-index:251706368;mso-position-horizontal-relative:text;mso-position-vertical-relative:text" from="-6.05pt,209.95pt" to="483.55pt,209.95pt" o:allowincell="f"/>
              </w:pict>
            </w:r>
            <w:r>
              <w:rPr>
                <w:noProof/>
                <w:sz w:val="24"/>
              </w:rPr>
              <w:pict>
                <v:line id="_x0000_s1069" style="position:absolute;z-index:251704320;mso-position-horizontal-relative:text;mso-position-vertical-relative:text" from="-6.05pt,65.95pt" to="476.35pt,65.95pt" o:allowincell="f"/>
              </w:pict>
            </w:r>
            <w:r>
              <w:rPr>
                <w:noProof/>
                <w:sz w:val="24"/>
              </w:rPr>
              <w:pict>
                <v:line id="_x0000_s1057" style="position:absolute;z-index:251692032;mso-position-horizontal-relative:text;mso-position-vertical-relative:text" from="137.95pt,533.95pt" to="310.75pt,533.95pt" o:allowincell="f"/>
              </w:pict>
            </w:r>
            <w:r>
              <w:rPr>
                <w:noProof/>
                <w:sz w:val="24"/>
              </w:rPr>
              <w:pict>
                <v:line id="_x0000_s1056" style="position:absolute;z-index:251691008;mso-position-horizontal-relative:text;mso-position-vertical-relative:text" from="130.75pt,483.55pt" to="325.15pt,483.55pt" o:allowincell="f"/>
              </w:pict>
            </w:r>
            <w:r>
              <w:rPr>
                <w:noProof/>
                <w:sz w:val="24"/>
              </w:rPr>
              <w:pict>
                <v:line id="_x0000_s1055" style="position:absolute;z-index:251689984;mso-position-horizontal-relative:text;mso-position-vertical-relative:text" from="137.95pt,397.15pt" to="332.35pt,397.15pt" o:allowincell="f"/>
              </w:pict>
            </w:r>
          </w:p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59" style="position:absolute;z-index:251694080" from="130.75pt,634.75pt" to="332.35pt,634.75pt" o:allowincell="f"/>
              </w:pict>
            </w:r>
            <w:r>
              <w:rPr>
                <w:noProof/>
                <w:sz w:val="24"/>
              </w:rPr>
              <w:pict>
                <v:line id="_x0000_s1058" style="position:absolute;z-index:251693056" from="-6.05pt,591.55pt" to="512.35pt,591.55pt" o:allowincell="f"/>
              </w:pict>
            </w:r>
            <w:r>
              <w:rPr>
                <w:noProof/>
                <w:sz w:val="24"/>
              </w:rPr>
              <w:pict>
                <v:line id="_x0000_s1054" style="position:absolute;z-index:251688960" from="-6.05pt,469.15pt" to="512.35pt,469.15pt" o:allowincell="f"/>
              </w:pict>
            </w:r>
            <w:r>
              <w:rPr>
                <w:noProof/>
                <w:sz w:val="24"/>
              </w:rPr>
              <w:pict>
                <v:line id="_x0000_s1053" style="position:absolute;z-index:251687936" from="166.75pt,332.35pt" to="317.95pt,332.35pt" o:allowincell="f"/>
              </w:pict>
            </w:r>
            <w:r>
              <w:rPr>
                <w:noProof/>
                <w:sz w:val="24"/>
              </w:rPr>
              <w:pict>
                <v:line id="_x0000_s1052" style="position:absolute;z-index:251686912" from="-6.05pt,361.15pt" to="512.35pt,361.15pt" o:allowincell="f"/>
              </w:pict>
            </w:r>
            <w:r>
              <w:rPr>
                <w:noProof/>
                <w:sz w:val="24"/>
              </w:rPr>
              <w:pict>
                <v:line id="_x0000_s1051" style="position:absolute;z-index:251685888" from="-6.05pt,368.35pt" to="-6.05pt,368.35pt" o:allowincell="f"/>
              </w:pict>
            </w:r>
            <w:r>
              <w:rPr>
                <w:noProof/>
                <w:sz w:val="24"/>
              </w:rPr>
              <w:pict>
                <v:line id="_x0000_s1050" style="position:absolute;z-index:251684864" from="152.35pt,253.15pt" to="310.75pt,253.15pt" o:allowincell="f"/>
              </w:pict>
            </w:r>
            <w:r>
              <w:rPr>
                <w:noProof/>
                <w:sz w:val="24"/>
              </w:rPr>
              <w:pict>
                <v:line id="_x0000_s1048" style="position:absolute;z-index:251682816" from="173.95pt,101.95pt" to="296.35pt,101.95pt" o:allowincell="f"/>
              </w:pict>
            </w:r>
            <w:r>
              <w:rPr>
                <w:noProof/>
                <w:sz w:val="24"/>
              </w:rPr>
              <w:pict>
                <v:line id="_x0000_s1047" style="position:absolute;z-index:251681792" from="173.95pt,29.95pt" to="260.35pt,29.95pt" o:allowincell="f"/>
              </w:pic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Taux de croissance de la valeur ajoutée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Taux d’intégration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D32BC8" w:rsidP="007955E0">
            <w:pPr>
              <w:rPr>
                <w:sz w:val="24"/>
              </w:rPr>
            </w:pPr>
            <w:r>
              <w:rPr>
                <w:sz w:val="24"/>
              </w:rPr>
              <w:t>Partage de la valeur ajoutée (facteur travail</w:t>
            </w:r>
            <w:r w:rsidR="0005294C">
              <w:rPr>
                <w:sz w:val="24"/>
              </w:rPr>
              <w:t>)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Partage de la valeur</w:t>
            </w:r>
          </w:p>
          <w:p w:rsidR="0005294C" w:rsidRDefault="00D32BC8" w:rsidP="007955E0">
            <w:pPr>
              <w:rPr>
                <w:sz w:val="24"/>
              </w:rPr>
            </w:pPr>
            <w:r>
              <w:rPr>
                <w:sz w:val="24"/>
              </w:rPr>
              <w:t>Ajoutée (facteur capital</w:t>
            </w:r>
            <w:r w:rsidR="0005294C">
              <w:rPr>
                <w:sz w:val="24"/>
              </w:rPr>
              <w:t>)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Poids de l’endettement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Rotation des stocks ( entreprises commerciales)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Rotation des stocks</w:t>
            </w:r>
            <w:r w:rsidR="00D32BC8">
              <w:rPr>
                <w:sz w:val="24"/>
              </w:rPr>
              <w:t xml:space="preserve"> </w:t>
            </w:r>
            <w:r>
              <w:rPr>
                <w:sz w:val="24"/>
              </w:rPr>
              <w:t>( entreprise industrielle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Durée moyenne du crédit clients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Durée moyenne fournisseurs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276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VA n – VA n-1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VA n- 1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Valeur ajoutée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Chiffre d’affaire HT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Charges de personnel</w:t>
            </w: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77" type="#_x0000_t32" style="position:absolute;margin-left:46.1pt;margin-top:1.1pt;width:115pt;height:1.2pt;flip:y;z-index:251711488" o:connectortype="straight"/>
              </w:pict>
            </w:r>
            <w:r w:rsidR="0005294C">
              <w:rPr>
                <w:sz w:val="24"/>
              </w:rPr>
              <w:t xml:space="preserve">                    Valeur ajoutée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Excédent brut d’exploitation</w:t>
            </w: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78" type="#_x0000_t32" style="position:absolute;margin-left:32.8pt;margin-top:12pt;width:133.7pt;height:.6pt;z-index:251712512" o:connectortype="straight"/>
              </w:pict>
            </w:r>
            <w:r w:rsidR="0005294C">
              <w:rPr>
                <w:sz w:val="24"/>
              </w:rPr>
              <w:t xml:space="preserve">                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Valeur ajoutée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Charges d’intérêts</w:t>
            </w: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79" type="#_x0000_t32" style="position:absolute;margin-left:32.8pt;margin-top:1.2pt;width:146.45pt;height:0;z-index:251713536" o:connectortype="straight"/>
              </w:pict>
            </w:r>
            <w:r w:rsidR="0005294C">
              <w:rPr>
                <w:sz w:val="24"/>
              </w:rPr>
              <w:t xml:space="preserve">              Excédent brut d’exploitation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Stock moyen de marchandises      X360</w:t>
            </w:r>
          </w:p>
          <w:p w:rsidR="0005294C" w:rsidRDefault="00530F53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80" type="#_x0000_t32" style="position:absolute;margin-left:13.45pt;margin-top:-.05pt;width:162.15pt;height:.6pt;z-index:251714560" o:connectortype="straight"/>
              </w:pict>
            </w:r>
            <w:r w:rsidR="0005294C">
              <w:rPr>
                <w:sz w:val="24"/>
              </w:rPr>
              <w:t xml:space="preserve">  Coût d’achat des marchandises vendues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r>
              <w:rPr>
                <w:sz w:val="24"/>
              </w:rPr>
              <w:t xml:space="preserve">    </w:t>
            </w:r>
            <w:r>
              <w:t>Stock moyen de matières premières X 360</w:t>
            </w:r>
          </w:p>
          <w:p w:rsidR="0005294C" w:rsidRDefault="00D32BC8" w:rsidP="007955E0">
            <w:r>
              <w:rPr>
                <w:noProof/>
              </w:rPr>
              <w:pict>
                <v:shape id="_x0000_s1081" type="#_x0000_t32" style="position:absolute;margin-left:10.4pt;margin-top:2.4pt;width:174.9pt;height:1.8pt;flip:y;z-index:251715584" o:connectortype="straight"/>
              </w:pict>
            </w:r>
          </w:p>
          <w:p w:rsidR="0005294C" w:rsidRDefault="00D32BC8" w:rsidP="007955E0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05294C">
              <w:rPr>
                <w:sz w:val="18"/>
              </w:rPr>
              <w:t xml:space="preserve">Coût </w:t>
            </w:r>
            <w:r>
              <w:rPr>
                <w:sz w:val="18"/>
              </w:rPr>
              <w:t xml:space="preserve">d’achat des matières premières </w:t>
            </w:r>
            <w:r w:rsidR="0005294C">
              <w:rPr>
                <w:sz w:val="18"/>
              </w:rPr>
              <w:t>consommé</w:t>
            </w:r>
            <w:r>
              <w:rPr>
                <w:sz w:val="18"/>
              </w:rPr>
              <w:t>e</w:t>
            </w:r>
            <w:r w:rsidR="0005294C">
              <w:rPr>
                <w:sz w:val="18"/>
              </w:rPr>
              <w:t>s</w:t>
            </w:r>
          </w:p>
          <w:p w:rsidR="0005294C" w:rsidRDefault="0005294C" w:rsidP="007955E0">
            <w:pPr>
              <w:rPr>
                <w:sz w:val="18"/>
              </w:rPr>
            </w:pPr>
          </w:p>
          <w:p w:rsidR="0005294C" w:rsidRDefault="0005294C" w:rsidP="007955E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24"/>
              </w:rPr>
              <w:t>Stock moyen de produits finis X360</w:t>
            </w:r>
          </w:p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82" type="#_x0000_t32" style="position:absolute;margin-left:-.35pt;margin-top:.5pt;width:194.4pt;height:1.2pt;flip:y;z-index:251716608" o:connectortype="straight"/>
              </w:pict>
            </w:r>
            <w:r>
              <w:rPr>
                <w:sz w:val="24"/>
              </w:rPr>
              <w:t xml:space="preserve">Coût </w:t>
            </w:r>
            <w:r w:rsidR="0005294C">
              <w:rPr>
                <w:sz w:val="24"/>
              </w:rPr>
              <w:t>de production des produits vendus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Créances clients et comptes 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rattachés + en-cours de production X360</w:t>
            </w:r>
          </w:p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84" type="#_x0000_t32" style="position:absolute;margin-left:17.7pt;margin-top:9.05pt;width:182.1pt;height:3.05pt;z-index:251717632" o:connectortype="straight"/>
              </w:pic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Chiffres d’affaires TTC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Dettes fournisseurs et comptes  X360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Rattachés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2"/>
              </w:rPr>
            </w:pPr>
            <w:r>
              <w:rPr>
                <w:sz w:val="22"/>
              </w:rPr>
              <w:t>Consommations en provenances des tiers TTC</w:t>
            </w:r>
          </w:p>
        </w:tc>
        <w:tc>
          <w:tcPr>
            <w:tcW w:w="2811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L’évolution de la valeur ajoutée est également un indicateur de croissance.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Il mesure le taux d’intégration de l’entreprise dans le processus de production </w:t>
            </w:r>
            <w:r>
              <w:rPr>
                <w:sz w:val="24"/>
              </w:rPr>
              <w:lastRenderedPageBreak/>
              <w:t>ainsi que le poids des charges externes.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part de richesse qui sert à  rémunérer le travail.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part de richesse qui sert à rémunérer les apporteurs de capitaux et à renouveler le capital investi.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le poids de l’endettement de l’entreprise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durée d’écoulement des stocks. Une augmentation de cette durée entraîne une augmentation du BFRE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durée d’écoulement des stocks. Une augmentation de cette durée entraîne une augmentation du BFRE.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durée moyenne en jours du crédit consentis pour ses clients.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Il mesure la durée moyenne en jours du crédit obtenu par 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l’entreprise de la part de ses fournisseurs. Il doit être supérieur au ratio du crédit clients.</w:t>
            </w:r>
          </w:p>
        </w:tc>
      </w:tr>
    </w:tbl>
    <w:p w:rsidR="0005294C" w:rsidRDefault="00D32BC8" w:rsidP="0005294C">
      <w:pPr>
        <w:rPr>
          <w:sz w:val="24"/>
        </w:rPr>
      </w:pPr>
      <w:r>
        <w:rPr>
          <w:noProof/>
          <w:sz w:val="24"/>
        </w:rPr>
        <w:lastRenderedPageBreak/>
        <w:pict>
          <v:line id="_x0000_s1060" style="position:absolute;z-index:251695104;mso-position-horizontal-relative:text;mso-position-vertical-relative:text" from="130.75pt,-80.85pt" to="325.15pt,-80.85pt" o:allowincell="f"/>
        </w:pict>
      </w:r>
      <w:r>
        <w:rPr>
          <w:noProof/>
          <w:sz w:val="24"/>
        </w:rPr>
        <w:pict>
          <v:line id="_x0000_s1046" style="position:absolute;z-index:251680768;mso-position-horizontal-relative:text;mso-position-vertical-relative:text" from="159.55pt,-81.45pt" to="159.55pt,-81.45pt" o:allowincell="f"/>
        </w:pict>
      </w: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b/>
          <w:sz w:val="24"/>
        </w:rPr>
      </w:pPr>
      <w:r>
        <w:rPr>
          <w:b/>
          <w:sz w:val="24"/>
        </w:rPr>
        <w:t>C- Les ratios de rentabilité</w:t>
      </w:r>
    </w:p>
    <w:p w:rsidR="0005294C" w:rsidRDefault="0005294C" w:rsidP="0005294C">
      <w:pPr>
        <w:rPr>
          <w:b/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4418"/>
        <w:gridCol w:w="3095"/>
      </w:tblGrid>
      <w:tr w:rsidR="0005294C" w:rsidTr="007955E0">
        <w:tc>
          <w:tcPr>
            <w:tcW w:w="2836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Nature </w:t>
            </w:r>
          </w:p>
        </w:tc>
        <w:tc>
          <w:tcPr>
            <w:tcW w:w="4418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Formule</w:t>
            </w:r>
          </w:p>
        </w:tc>
        <w:tc>
          <w:tcPr>
            <w:tcW w:w="3095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Interprétations</w:t>
            </w:r>
          </w:p>
        </w:tc>
      </w:tr>
      <w:tr w:rsidR="0005294C" w:rsidTr="007955E0">
        <w:tc>
          <w:tcPr>
            <w:tcW w:w="2836" w:type="dxa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64" style="position:absolute;z-index:251699200;mso-position-horizontal-relative:text;mso-position-vertical-relative:text" from="137.95pt,30.85pt" to="289.15pt,30.85pt" o:allowincell="f"/>
              </w:pic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Taux de marge brute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418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Excédent brut d’exploitation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Chiffre d’affaires hors taxes</w:t>
            </w: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3095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capacité de l’entreprise à gérer une rentabilité à partir du chiffre d’affaires.</w:t>
            </w:r>
          </w:p>
        </w:tc>
      </w:tr>
      <w:tr w:rsidR="0005294C" w:rsidTr="007955E0">
        <w:tc>
          <w:tcPr>
            <w:tcW w:w="2836" w:type="dxa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65" style="position:absolute;z-index:251700224;mso-position-horizontal-relative:text;mso-position-vertical-relative:text" from="-6.05pt,69.4pt" to="533.95pt,69.4pt" o:allowincell="f"/>
              </w:pict>
            </w:r>
            <w:r>
              <w:rPr>
                <w:noProof/>
                <w:sz w:val="24"/>
              </w:rPr>
              <w:pict>
                <v:line id="_x0000_s1062" style="position:absolute;z-index:251697152;mso-position-horizontal-relative:text;mso-position-vertical-relative:text" from="145.15pt,83.2pt" to="296.35pt,83.2pt" o:allowincell="f"/>
              </w:pict>
            </w:r>
            <w:r>
              <w:rPr>
                <w:noProof/>
                <w:sz w:val="24"/>
              </w:rPr>
              <w:pict>
                <v:line id="_x0000_s1061" style="position:absolute;z-index:251696128;mso-position-horizontal-relative:text;mso-position-vertical-relative:text" from="137.95pt,25.6pt" to="231.55pt,25.6pt" o:allowincell="f"/>
              </w:pic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Taux de rentabilité financière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Taux de rentabilité économique </w:t>
            </w: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418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Résultat net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Capitaux propres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Excédent brut d’exploitation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 Ressources stables</w:t>
            </w:r>
          </w:p>
        </w:tc>
        <w:tc>
          <w:tcPr>
            <w:tcW w:w="3095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l’aptitude de l’entreprise à rentabiliser les fonds apportés par les associés.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capacité de l’entreprise à rentabiliser les fonds apportés par les associés et les prêteurs.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</w:tc>
      </w:tr>
      <w:tr w:rsidR="0005294C" w:rsidTr="007955E0">
        <w:tc>
          <w:tcPr>
            <w:tcW w:w="2836" w:type="dxa"/>
          </w:tcPr>
          <w:p w:rsidR="0005294C" w:rsidRDefault="00D32BC8" w:rsidP="007955E0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63" style="position:absolute;z-index:251698176;mso-position-horizontal-relative:text;mso-position-vertical-relative:text" from="152.35pt,32.9pt" to="281.95pt,32.9pt" o:allowincell="f"/>
              </w:pic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Taux de marge nette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418" w:type="dxa"/>
          </w:tcPr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  Résultat de l’exercice</w:t>
            </w:r>
          </w:p>
          <w:p w:rsidR="0005294C" w:rsidRDefault="0005294C" w:rsidP="007955E0">
            <w:pPr>
              <w:rPr>
                <w:sz w:val="24"/>
              </w:rPr>
            </w:pP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        Chiffre d’affaires hors taxes</w:t>
            </w:r>
          </w:p>
        </w:tc>
        <w:tc>
          <w:tcPr>
            <w:tcW w:w="3095" w:type="dxa"/>
          </w:tcPr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5294C" w:rsidRDefault="0005294C" w:rsidP="007955E0">
            <w:pPr>
              <w:rPr>
                <w:sz w:val="24"/>
              </w:rPr>
            </w:pPr>
            <w:r>
              <w:rPr>
                <w:sz w:val="24"/>
              </w:rPr>
              <w:t>Il mesure la capacité de l’entreprise à générer un bénéfice net à partir du chiffre d’affaires.</w:t>
            </w:r>
          </w:p>
        </w:tc>
      </w:tr>
      <w:tr w:rsidR="0005294C" w:rsidTr="007955E0">
        <w:trPr>
          <w:trHeight w:val="74"/>
        </w:trPr>
        <w:tc>
          <w:tcPr>
            <w:tcW w:w="2836" w:type="dxa"/>
          </w:tcPr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4418" w:type="dxa"/>
          </w:tcPr>
          <w:p w:rsidR="0005294C" w:rsidRDefault="0005294C" w:rsidP="007955E0">
            <w:pPr>
              <w:rPr>
                <w:sz w:val="24"/>
              </w:rPr>
            </w:pPr>
          </w:p>
        </w:tc>
        <w:tc>
          <w:tcPr>
            <w:tcW w:w="3095" w:type="dxa"/>
          </w:tcPr>
          <w:p w:rsidR="0005294C" w:rsidRDefault="0005294C" w:rsidP="007955E0">
            <w:pPr>
              <w:rPr>
                <w:sz w:val="24"/>
              </w:rPr>
            </w:pPr>
          </w:p>
        </w:tc>
      </w:tr>
    </w:tbl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05294C" w:rsidRDefault="0005294C" w:rsidP="0005294C">
      <w:pPr>
        <w:rPr>
          <w:sz w:val="24"/>
        </w:rPr>
      </w:pPr>
    </w:p>
    <w:p w:rsidR="00145513" w:rsidRDefault="00145513"/>
    <w:sectPr w:rsidR="00145513" w:rsidSect="0014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F4E89"/>
    <w:multiLevelType w:val="singleLevel"/>
    <w:tmpl w:val="5FA4962A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294C"/>
    <w:rsid w:val="0005294C"/>
    <w:rsid w:val="00145513"/>
    <w:rsid w:val="00530F53"/>
    <w:rsid w:val="00D3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_x0000_s1074"/>
        <o:r id="V:Rule2" type="connector" idref="#_x0000_s1075"/>
        <o:r id="V:Rule3" type="connector" idref="#_x0000_s1076"/>
        <o:r id="V:Rule4" type="connector" idref="#_x0000_s1077"/>
        <o:r id="V:Rule5" type="connector" idref="#_x0000_s1078"/>
        <o:r id="V:Rule6" type="connector" idref="#_x0000_s1079"/>
        <o:r id="V:Rule7" type="connector" idref="#_x0000_s1080"/>
        <o:r id="V:Rule8" type="connector" idref="#_x0000_s1081"/>
        <o:r id="V:Rule9" type="connector" idref="#_x0000_s1082"/>
        <o:r id="V:Rule10" type="connector" idref="#_x0000_s1084"/>
      </o:rules>
    </o:shapelayout>
  </w:shapeDefaults>
  <w:decimalSymbol w:val=","/>
  <w:listSeparator w:val=";"/>
  <w15:docId w15:val="{275EAF70-13D2-4DC9-B569-D2F9C221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5294C"/>
    <w:pPr>
      <w:keepNext/>
      <w:outlineLvl w:val="0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05294C"/>
    <w:pPr>
      <w:keepNext/>
      <w:jc w:val="center"/>
      <w:outlineLvl w:val="3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5294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5294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05294C"/>
    <w:pPr>
      <w:jc w:val="center"/>
    </w:pPr>
    <w:rPr>
      <w:sz w:val="24"/>
    </w:rPr>
  </w:style>
  <w:style w:type="character" w:customStyle="1" w:styleId="Corpsdetexte3Car">
    <w:name w:val="Corps de texte 3 Car"/>
    <w:basedOn w:val="Policepardfaut"/>
    <w:link w:val="Corpsdetexte3"/>
    <w:semiHidden/>
    <w:rsid w:val="0005294C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boulanger</dc:creator>
  <cp:lastModifiedBy>thabet-s</cp:lastModifiedBy>
  <cp:revision>3</cp:revision>
  <dcterms:created xsi:type="dcterms:W3CDTF">2011-11-28T08:30:00Z</dcterms:created>
  <dcterms:modified xsi:type="dcterms:W3CDTF">2018-11-22T23:13:00Z</dcterms:modified>
</cp:coreProperties>
</file>